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bookmarkStart w:id="0" w:name="_GoBack"/>
      <w:bookmarkEnd w:id="0"/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77B7394A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1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2023</w:t>
      </w:r>
    </w:p>
    <w:bookmarkEnd w:id="1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3B6CBFD2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A23F1E" w:rsidRPr="00BC78FC">
        <w:rPr>
          <w:rFonts w:eastAsia="Calibri"/>
        </w:rPr>
        <w:t>35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2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2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3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3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524155E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142847" w:rsidRPr="00BC78FC">
        <w:rPr>
          <w:rFonts w:eastAsia="Calibri"/>
          <w:b/>
          <w:bCs/>
        </w:rPr>
        <w:t>3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lastRenderedPageBreak/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77777777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>
        <w:rPr>
          <w:b/>
        </w:rPr>
        <w:t>1 823,60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1 410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lastRenderedPageBreak/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220712EE" w14:textId="339FEAF5" w:rsidR="005F0B53" w:rsidRPr="00D16FB5" w:rsidRDefault="0022534A" w:rsidP="00D16FB5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lastRenderedPageBreak/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5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5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6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2CA8" w14:textId="77777777" w:rsidR="00F07758" w:rsidRDefault="00F07758" w:rsidP="00523E77">
      <w:pPr>
        <w:spacing w:after="0" w:line="240" w:lineRule="auto"/>
      </w:pPr>
      <w:r>
        <w:separator/>
      </w:r>
    </w:p>
  </w:endnote>
  <w:endnote w:type="continuationSeparator" w:id="0">
    <w:p w14:paraId="3C1EB95C" w14:textId="77777777" w:rsidR="00F07758" w:rsidRDefault="00F0775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215A" w14:textId="77777777" w:rsidR="00F07758" w:rsidRDefault="00F07758" w:rsidP="00523E77">
      <w:pPr>
        <w:spacing w:after="0" w:line="240" w:lineRule="auto"/>
      </w:pPr>
      <w:r>
        <w:separator/>
      </w:r>
    </w:p>
  </w:footnote>
  <w:footnote w:type="continuationSeparator" w:id="0">
    <w:p w14:paraId="739FFBC8" w14:textId="77777777" w:rsidR="00F07758" w:rsidRDefault="00F07758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3099170F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93732">
        <w:t>1</w:t>
      </w:r>
      <w:r w:rsidR="00A23F1E">
        <w:t>823,60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A23F1E">
        <w:t xml:space="preserve">410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4" w:name="_Hlk1133816"/>
      <w:r w:rsidRPr="00753258">
        <w:rPr>
          <w:sz w:val="18"/>
          <w:szCs w:val="18"/>
        </w:rPr>
        <w:t>Wypełnić danymi właściwej OPR/OPL.</w:t>
      </w:r>
      <w:bookmarkEnd w:id="4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A953" w14:textId="68052651" w:rsidR="00D039DE" w:rsidRDefault="001B7488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289BCE44" wp14:editId="69F223EB">
          <wp:extent cx="6188710" cy="1252855"/>
          <wp:effectExtent l="0" t="0" r="2540" b="4445"/>
          <wp:docPr id="431407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07003" name="Obraz 4314070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B7488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139DA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0596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16FB5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07758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77A0-1A40-411B-8B6D-1D475FA9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Katarzyna Targońska</cp:lastModifiedBy>
  <cp:revision>2</cp:revision>
  <cp:lastPrinted>2019-02-15T08:29:00Z</cp:lastPrinted>
  <dcterms:created xsi:type="dcterms:W3CDTF">2023-12-15T11:32:00Z</dcterms:created>
  <dcterms:modified xsi:type="dcterms:W3CDTF">2023-12-15T11:32:00Z</dcterms:modified>
</cp:coreProperties>
</file>